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583" w:rsidRDefault="00293762">
      <w:pPr>
        <w:spacing w:after="53" w:line="237" w:lineRule="auto"/>
        <w:ind w:left="1536" w:right="-15" w:hanging="10"/>
        <w:jc w:val="center"/>
      </w:pPr>
      <w:bookmarkStart w:id="0" w:name="_GoBack"/>
      <w:bookmarkEnd w:id="0"/>
      <w:r>
        <w:rPr>
          <w:sz w:val="32"/>
        </w:rPr>
        <w:t xml:space="preserve">Письмо </w:t>
      </w:r>
      <w:proofErr w:type="spellStart"/>
      <w:r>
        <w:rPr>
          <w:sz w:val="32"/>
        </w:rPr>
        <w:t>МинОбнауки</w:t>
      </w:r>
      <w:proofErr w:type="spellEnd"/>
      <w:r>
        <w:rPr>
          <w:sz w:val="32"/>
        </w:rPr>
        <w:t xml:space="preserve">  </w:t>
      </w:r>
    </w:p>
    <w:p w:rsidR="000A7583" w:rsidRDefault="00293762">
      <w:pPr>
        <w:spacing w:after="53" w:line="237" w:lineRule="auto"/>
        <w:ind w:left="1536" w:right="1454" w:hanging="10"/>
        <w:jc w:val="center"/>
      </w:pPr>
      <w:r>
        <w:rPr>
          <w:sz w:val="32"/>
        </w:rPr>
        <w:t xml:space="preserve">О правилах приема в общеобразовательные учреждения № ИР-535/03 от 28 июня 2012 г. </w:t>
      </w:r>
    </w:p>
    <w:p w:rsidR="000A7583" w:rsidRDefault="00293762">
      <w:pPr>
        <w:spacing w:after="329" w:line="240" w:lineRule="auto"/>
        <w:ind w:left="0" w:firstLine="0"/>
        <w:jc w:val="center"/>
      </w:pPr>
      <w:r>
        <w:rPr>
          <w:rFonts w:ascii="Calibri" w:eastAsia="Calibri" w:hAnsi="Calibri" w:cs="Calibri"/>
          <w:sz w:val="22"/>
        </w:rPr>
        <w:t xml:space="preserve">Органы исполнительной власти субъектов РФ, осуществляющие управление в сфере образования </w:t>
      </w:r>
    </w:p>
    <w:p w:rsidR="000A7583" w:rsidRDefault="00293762">
      <w:pPr>
        <w:spacing w:after="316" w:line="240" w:lineRule="auto"/>
        <w:ind w:left="0" w:firstLine="0"/>
        <w:jc w:val="center"/>
      </w:pPr>
      <w:r>
        <w:rPr>
          <w:b/>
        </w:rPr>
        <w:t>О правилах приема в ОУ</w:t>
      </w:r>
      <w:r>
        <w:t xml:space="preserve"> </w:t>
      </w:r>
    </w:p>
    <w:p w:rsidR="000A7583" w:rsidRDefault="00293762">
      <w:pPr>
        <w:spacing w:after="325" w:line="233" w:lineRule="auto"/>
        <w:ind w:left="-5" w:hanging="10"/>
        <w:jc w:val="left"/>
      </w:pPr>
      <w:r>
        <w:t xml:space="preserve"> Министерство образования и науки Российской Федерации в связи с поступающими запросами по применению Порядка приема граждан в общеобразовательные учреждения, утвержденного приказом Министерства образования и науки Российской Федерации от 15 февраля 2012 г</w:t>
      </w:r>
      <w:r>
        <w:t xml:space="preserve">. № 107 (зарегистрирован Минюстом России 17 апреля 2012 г., регистрационный № 23859) направляет разъяснения по наиболее часто задаваемым вопросам. </w:t>
      </w:r>
    </w:p>
    <w:p w:rsidR="000A7583" w:rsidRDefault="00293762">
      <w:r>
        <w:t>Просьба довести данную информацию до сведения руководителей общеобразовательных учреждений и органов местног</w:t>
      </w:r>
      <w:r>
        <w:t xml:space="preserve">о самоуправления муниципальных районов и городских округов по решению вопросов местного значения в сфере образования. </w:t>
      </w:r>
    </w:p>
    <w:p w:rsidR="000A7583" w:rsidRDefault="00293762">
      <w:pPr>
        <w:spacing w:after="33" w:line="249" w:lineRule="auto"/>
        <w:ind w:right="6919" w:firstLine="0"/>
        <w:jc w:val="left"/>
      </w:pPr>
      <w:r>
        <w:rPr>
          <w:rFonts w:ascii="Calibri" w:eastAsia="Calibri" w:hAnsi="Calibri" w:cs="Calibri"/>
          <w:sz w:val="22"/>
        </w:rPr>
        <w:t xml:space="preserve">Приложение: на 4 л. в 1 экз. </w:t>
      </w:r>
      <w:proofErr w:type="spellStart"/>
      <w:r>
        <w:rPr>
          <w:rFonts w:ascii="Calibri" w:eastAsia="Calibri" w:hAnsi="Calibri" w:cs="Calibri"/>
          <w:i/>
          <w:sz w:val="22"/>
        </w:rPr>
        <w:t>И.М.Реморенко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</w:p>
    <w:p w:rsidR="000A7583" w:rsidRDefault="00293762">
      <w:pPr>
        <w:spacing w:after="32" w:line="240" w:lineRule="auto"/>
        <w:ind w:left="10" w:hanging="10"/>
        <w:jc w:val="right"/>
      </w:pPr>
      <w:r>
        <w:rPr>
          <w:rFonts w:ascii="Calibri" w:eastAsia="Calibri" w:hAnsi="Calibri" w:cs="Calibri"/>
          <w:sz w:val="22"/>
        </w:rPr>
        <w:t xml:space="preserve">Приложение </w:t>
      </w:r>
    </w:p>
    <w:p w:rsidR="000A7583" w:rsidRDefault="00293762">
      <w:pPr>
        <w:spacing w:after="32" w:line="240" w:lineRule="auto"/>
        <w:ind w:left="10" w:hanging="10"/>
        <w:jc w:val="right"/>
      </w:pPr>
      <w:proofErr w:type="gramStart"/>
      <w:r>
        <w:rPr>
          <w:rFonts w:ascii="Calibri" w:eastAsia="Calibri" w:hAnsi="Calibri" w:cs="Calibri"/>
          <w:sz w:val="22"/>
        </w:rPr>
        <w:t>к</w:t>
      </w:r>
      <w:proofErr w:type="gramEnd"/>
      <w:r>
        <w:rPr>
          <w:rFonts w:ascii="Calibri" w:eastAsia="Calibri" w:hAnsi="Calibri" w:cs="Calibri"/>
          <w:sz w:val="22"/>
        </w:rPr>
        <w:t xml:space="preserve"> письму Министерства образования и науки </w:t>
      </w:r>
    </w:p>
    <w:p w:rsidR="000A7583" w:rsidRDefault="00293762">
      <w:pPr>
        <w:spacing w:line="249" w:lineRule="auto"/>
        <w:ind w:left="9079" w:hanging="227"/>
        <w:jc w:val="left"/>
      </w:pPr>
      <w:r>
        <w:rPr>
          <w:rFonts w:ascii="Calibri" w:eastAsia="Calibri" w:hAnsi="Calibri" w:cs="Calibri"/>
          <w:sz w:val="22"/>
        </w:rPr>
        <w:t>Российской Федерации от 28 июня 2012 г</w:t>
      </w:r>
      <w:r>
        <w:rPr>
          <w:rFonts w:ascii="Calibri" w:eastAsia="Calibri" w:hAnsi="Calibri" w:cs="Calibri"/>
          <w:sz w:val="22"/>
        </w:rPr>
        <w:t xml:space="preserve">ода </w:t>
      </w:r>
    </w:p>
    <w:p w:rsidR="000A7583" w:rsidRDefault="00293762">
      <w:pPr>
        <w:pStyle w:val="1"/>
        <w:spacing w:after="48"/>
        <w:ind w:left="720" w:hanging="359"/>
      </w:pPr>
      <w:r>
        <w:t xml:space="preserve">Кто определяет правила приема в учреждение? Какова в этом вопросе роль нормативных </w:t>
      </w:r>
      <w:proofErr w:type="gramStart"/>
      <w:r>
        <w:t>актов</w:t>
      </w:r>
      <w:proofErr w:type="gramEnd"/>
      <w:r>
        <w:t xml:space="preserve"> учредителя  </w:t>
      </w:r>
    </w:p>
    <w:p w:rsidR="000A7583" w:rsidRDefault="00293762">
      <w:pPr>
        <w:ind w:firstLine="361"/>
      </w:pPr>
      <w:r>
        <w:rPr>
          <w:color w:val="0000FF"/>
        </w:rPr>
        <w:t>2.</w:t>
      </w:r>
      <w:r>
        <w:rPr>
          <w:rFonts w:ascii="Arial" w:eastAsia="Arial" w:hAnsi="Arial" w:cs="Arial"/>
          <w:color w:val="0000FF"/>
        </w:rPr>
        <w:t xml:space="preserve"> </w:t>
      </w:r>
      <w:r>
        <w:rPr>
          <w:b/>
          <w:i/>
          <w:color w:val="0000FF"/>
        </w:rPr>
        <w:t>– органов местного самоуправления муниципальных районов и городских округов в сфере образования?</w:t>
      </w:r>
      <w:r>
        <w:rPr>
          <w:color w:val="0000FF"/>
        </w:rPr>
        <w:t xml:space="preserve"> </w:t>
      </w:r>
      <w:r>
        <w:t xml:space="preserve">В соответствии со статьёй 16 Закона Российской Федерации «Об образовании» (далее – Закон) правила приема граждан в образовательные учреждения в части, не урегулированной Законом, другими федеральными законами, порядком приема в образовательные учреждения, </w:t>
      </w:r>
      <w:r>
        <w:t xml:space="preserve">установленным </w:t>
      </w:r>
      <w:proofErr w:type="spellStart"/>
      <w:r>
        <w:t>Минобрнауки</w:t>
      </w:r>
      <w:proofErr w:type="spellEnd"/>
      <w:r>
        <w:t xml:space="preserve"> России (для общеобразовательных учреждений - Порядок приема граждан в общеобразовательные учреждения утвержден приказом </w:t>
      </w:r>
      <w:proofErr w:type="spellStart"/>
      <w:r>
        <w:t>Минобрнауки</w:t>
      </w:r>
      <w:proofErr w:type="spellEnd"/>
      <w:r>
        <w:t xml:space="preserve"> России от 15 февраля 2012 г. № 107, зарегистрирован Минюстом России 17 апреля 2012 г., регистрацио</w:t>
      </w:r>
      <w:r>
        <w:t>нный № 23859, далее - Порядок), а в государственные и муниципальные образовательные учреждения также типовыми положениями об образовательных учреждениях соответствующих типов и видов определяются каждым образовательным учреждением самостоятельно. При опред</w:t>
      </w:r>
      <w:r>
        <w:t xml:space="preserve">елении образовательными учреждениями правил приема граждан они не могут руководствоваться актами учредителя по этому вопросу.  </w:t>
      </w:r>
    </w:p>
    <w:p w:rsidR="000A7583" w:rsidRDefault="00293762">
      <w:r>
        <w:t>К полномочиям органов местного самоуправления муниципальных районов и городских округов в сфере образования относится учет детей</w:t>
      </w:r>
      <w:r>
        <w:t xml:space="preserve">, подлежащих обучению в образовательных учреждениях, реализующих общеобразовательные программы, закрепление определенной территории муниципальных районов, городских округов за конкретным муниципальным образовательным учреждением. </w:t>
      </w:r>
    </w:p>
    <w:p w:rsidR="000A7583" w:rsidRDefault="00293762">
      <w:pPr>
        <w:pStyle w:val="1"/>
      </w:pPr>
      <w:r>
        <w:t>Является ли свидетельство</w:t>
      </w:r>
      <w:r>
        <w:t xml:space="preserve"> о регистрации на закрепленной территории обязательным условием приема в школу?</w:t>
      </w:r>
      <w:r>
        <w:rPr>
          <w:b w:val="0"/>
          <w:i w:val="0"/>
        </w:rPr>
        <w:t xml:space="preserve"> </w:t>
      </w:r>
    </w:p>
    <w:p w:rsidR="000A7583" w:rsidRDefault="00293762">
      <w:r>
        <w:t>В соответствии с частью 2 статьи 43 Конституции Российской Федерации и пунктом 3 статьи 5 Закона государство гарантирует гражданам общедоступность общего образования. При этом</w:t>
      </w:r>
      <w:r>
        <w:t xml:space="preserve"> граждане вправе выбирать любое образовательное учреждение, реализующее образовательные программы общего образования, независимо, в том числе, от места жительства. </w:t>
      </w:r>
    </w:p>
    <w:p w:rsidR="000A7583" w:rsidRDefault="00293762">
      <w:pPr>
        <w:spacing w:after="0"/>
      </w:pPr>
      <w:r>
        <w:lastRenderedPageBreak/>
        <w:t>Вместе с тем при получении общего образования должна быть обеспечена территориальная доступ</w:t>
      </w:r>
      <w:r>
        <w:t xml:space="preserve">ность образовательного учреждения для всех граждан, которые проживают на близлежащей территории и имеют право на получение образования соответствующего уровня. </w:t>
      </w:r>
    </w:p>
    <w:p w:rsidR="000A7583" w:rsidRDefault="00293762">
      <w:r>
        <w:t>Свидетельство о регистрации (либо по форме 3 «регистрация по месту пребывания», либо по форме 8</w:t>
      </w:r>
      <w:r>
        <w:t xml:space="preserve"> «регистрация по месту жительства», определенных административным регламентом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</w:t>
      </w:r>
      <w:r>
        <w:t xml:space="preserve"> Российской Федерации, утвержденным приказом ФМС России от 20 сентября 2007 г. № 208, зарегистрирован Минюстом России 28 ноября 2007 г., регистрационный № 10545) является только подтверждением факта проживания ребенка вблизи образовательного учреждения, и </w:t>
      </w:r>
      <w:r>
        <w:t xml:space="preserve">в соответствии с международным и российским законодательством право ребенка на образование не может быть ограничено по причине отсутствия свидетельства о регистрации. </w:t>
      </w:r>
    </w:p>
    <w:p w:rsidR="000A7583" w:rsidRDefault="00293762">
      <w:pPr>
        <w:spacing w:after="325" w:line="233" w:lineRule="auto"/>
        <w:ind w:firstLine="850"/>
        <w:jc w:val="left"/>
      </w:pPr>
      <w:r>
        <w:t xml:space="preserve">Если родители выбрали для ребенка школу в другом муниципалитете или регионе их право на </w:t>
      </w:r>
      <w:r>
        <w:t xml:space="preserve">образование будет «несколько отсрочено»: они могут подать документы в любую школу независимо от регистрации после 1-го августа. Дети без регистрации также будут приниматься в школу после 1-го августа. </w:t>
      </w:r>
    </w:p>
    <w:p w:rsidR="000A7583" w:rsidRDefault="00293762">
      <w:r>
        <w:t>При наличии свободных мест прием детей, не зарегистрир</w:t>
      </w:r>
      <w:r>
        <w:t xml:space="preserve">ованных на закрепленной территории, учреждения могут начинать до 1 августа сразу после окончания приема в 1 класс всех детей, зарегистрированных на закрепленной территории (пункт 16 Порядка). </w:t>
      </w:r>
    </w:p>
    <w:p w:rsidR="000A7583" w:rsidRDefault="00293762">
      <w:pPr>
        <w:pStyle w:val="1"/>
      </w:pPr>
      <w:r>
        <w:t>Может ли школа отказать в приеме в 1 класс ребенка, проживающег</w:t>
      </w:r>
      <w:r>
        <w:t>о по адресу, закрепленному за школой?</w:t>
      </w:r>
      <w:r>
        <w:rPr>
          <w:b w:val="0"/>
          <w:i w:val="0"/>
        </w:rPr>
        <w:t xml:space="preserve"> </w:t>
      </w:r>
    </w:p>
    <w:p w:rsidR="000A7583" w:rsidRDefault="00293762">
      <w:r>
        <w:t>Закрепленным лицам отказывается в приеме в учреждение только по причине отсутствия в нем свободных мест. В случае отказа в предоставлении места в учреждении родители (законные представители) для решения вопроса об уст</w:t>
      </w:r>
      <w:r>
        <w:t xml:space="preserve">ройстве ребенка в другое учреждение обращаются в органы местного самоуправления в сфере образования соответствующего муниципального района, городского округа (пункт 6 Порядка). </w:t>
      </w:r>
    </w:p>
    <w:p w:rsidR="000A7583" w:rsidRDefault="00293762">
      <w:pPr>
        <w:pStyle w:val="1"/>
      </w:pPr>
      <w:r>
        <w:t>Правомерно ли получение общего образования иностранными гражданами, проживающи</w:t>
      </w:r>
      <w:r>
        <w:t>ми на территории Российской Федерации, на бесплатной основе</w:t>
      </w:r>
      <w:r>
        <w:rPr>
          <w:b w:val="0"/>
          <w:i w:val="0"/>
        </w:rPr>
        <w:t xml:space="preserve"> </w:t>
      </w:r>
    </w:p>
    <w:p w:rsidR="000A7583" w:rsidRDefault="00293762">
      <w:r>
        <w:t xml:space="preserve">Иностранные граждане и лица без гражданства пользуются в Российской Федерации правами наравне с гражданами Российской Федерации (пункт 3 статьи 62 Конституции Российской Федерации).  </w:t>
      </w:r>
    </w:p>
    <w:p w:rsidR="000A7583" w:rsidRDefault="00293762">
      <w:r>
        <w:t>Кроме того,</w:t>
      </w:r>
      <w:r>
        <w:t xml:space="preserve"> в соответствии с пунктом 1 статьи 28 Конвенции о правах ребенка 1989 года государства-участники признают право ребенка на образование и принимают такие необходимые меры, как введение бесплатного образования и предоставление в случае необходимости финансов</w:t>
      </w:r>
      <w:r>
        <w:t>ой помощи. На основании пункта «е» статьи 3 Конвенции ЮНЕСКО о борьбе с дискриминацией в области образования 1960 года, государства, являющиеся сторонниками Конвенции, обязуются предоставлять иностранным гражданам, проживающим на их территории, такой же до</w:t>
      </w:r>
      <w:r>
        <w:t xml:space="preserve">ступ к образованию, что и своим гражданам. </w:t>
      </w:r>
    </w:p>
    <w:p w:rsidR="000A7583" w:rsidRDefault="00293762">
      <w:r>
        <w:t xml:space="preserve">Таким образом, дети-иностранцы, находящиеся на территории Российской Федерации, имеют наравне с гражданами Российской Федерации право на получение общего образования на бесплатной основе. </w:t>
      </w:r>
    </w:p>
    <w:p w:rsidR="000A7583" w:rsidRDefault="00293762">
      <w:pPr>
        <w:pStyle w:val="1"/>
        <w:ind w:left="228" w:hanging="243"/>
      </w:pPr>
      <w:r>
        <w:t>Правомерно ли при прием</w:t>
      </w:r>
      <w:r>
        <w:t>е в 1 класс проводить тестирование или другие конкурсные испытания?</w:t>
      </w:r>
      <w:r>
        <w:rPr>
          <w:b w:val="0"/>
          <w:i w:val="0"/>
        </w:rPr>
        <w:t xml:space="preserve"> </w:t>
      </w:r>
    </w:p>
    <w:p w:rsidR="000A7583" w:rsidRDefault="00293762">
      <w:r>
        <w:t xml:space="preserve">Прием закрепленных лиц в общеобразовательные учреждения всех видов осуществляется без вступительных испытаний (процедур отбора). </w:t>
      </w:r>
    </w:p>
    <w:p w:rsidR="000A7583" w:rsidRDefault="00293762">
      <w:r>
        <w:lastRenderedPageBreak/>
        <w:t>Только государственные и негосударственные учреждения, ре</w:t>
      </w:r>
      <w:r>
        <w:t>ализующие общеобразовательные программы для детей и подростков, проявивших выдающиеся способности, способности к занятию определенным видом искусства или спорта, в целях наиболее полного удовлетворения потребностей обучающихся предусматривают в правилах пр</w:t>
      </w:r>
      <w:r>
        <w:t xml:space="preserve">иема граждан в учреждение механизмы выявления у детей данных способностей (пункт 7 Порядка). </w:t>
      </w:r>
    </w:p>
    <w:p w:rsidR="000A7583" w:rsidRDefault="00293762">
      <w:pPr>
        <w:pStyle w:val="1"/>
        <w:spacing w:after="0"/>
        <w:ind w:left="226" w:hanging="241"/>
      </w:pPr>
      <w:r>
        <w:t>Вправе ли школа при записи в 1 класс требовать медицинскую справку о состоянии здоровья?</w:t>
      </w:r>
      <w:r>
        <w:rPr>
          <w:b w:val="0"/>
          <w:i w:val="0"/>
        </w:rPr>
        <w:t xml:space="preserve"> </w:t>
      </w:r>
    </w:p>
    <w:p w:rsidR="000A7583" w:rsidRDefault="00293762">
      <w:r>
        <w:t>Требование в качестве обязательного документа при приеме в общеобразовательное учреждение медицинского заключения о состоянии здоровья ребенка будет являться ограничением их прав, так как согласно статье 5 Закона гражданам гарантируется общедоступность нач</w:t>
      </w:r>
      <w:r>
        <w:t>ального общего, основного общего и среднего (полного) общего образования, в том числе независимо от состояния здоровья. В связи с чем, в пункте 13 Порядка установлено, что указанное заключение представляется родителями (законными представителями) ребенка п</w:t>
      </w:r>
      <w:r>
        <w:t xml:space="preserve">о их усмотрению. </w:t>
      </w:r>
    </w:p>
    <w:p w:rsidR="000A7583" w:rsidRDefault="00293762">
      <w:pPr>
        <w:pStyle w:val="1"/>
        <w:ind w:left="228" w:hanging="243"/>
      </w:pPr>
      <w:r>
        <w:t>Кто при приеме на свободные места в школу имеет право первоочередного приема?</w:t>
      </w:r>
      <w:r>
        <w:rPr>
          <w:b w:val="0"/>
          <w:i w:val="0"/>
        </w:rPr>
        <w:t xml:space="preserve"> </w:t>
      </w:r>
    </w:p>
    <w:p w:rsidR="000A7583" w:rsidRDefault="00293762">
      <w:r>
        <w:t>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</w:t>
      </w:r>
      <w:r>
        <w:t xml:space="preserve">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 (пункт 18 Порядка). </w:t>
      </w:r>
    </w:p>
    <w:p w:rsidR="000A7583" w:rsidRDefault="00293762">
      <w:r>
        <w:t xml:space="preserve">В соответствии с Федеральным законом от 7 февраля 2011 г. № 3–ФЗ «О полиции» (статья 46) данная льгота установлена для следующих категорий граждан: </w:t>
      </w:r>
    </w:p>
    <w:p w:rsidR="000A7583" w:rsidRDefault="00293762">
      <w:pPr>
        <w:numPr>
          <w:ilvl w:val="0"/>
          <w:numId w:val="1"/>
        </w:numPr>
        <w:ind w:firstLine="0"/>
      </w:pPr>
      <w:proofErr w:type="gramStart"/>
      <w:r>
        <w:t>дети</w:t>
      </w:r>
      <w:proofErr w:type="gramEnd"/>
      <w:r>
        <w:t xml:space="preserve"> сотрудника полиции; </w:t>
      </w:r>
    </w:p>
    <w:p w:rsidR="000A7583" w:rsidRDefault="00293762">
      <w:pPr>
        <w:numPr>
          <w:ilvl w:val="0"/>
          <w:numId w:val="1"/>
        </w:numPr>
        <w:ind w:firstLine="0"/>
      </w:pPr>
      <w:proofErr w:type="gramStart"/>
      <w:r>
        <w:t>дети</w:t>
      </w:r>
      <w:proofErr w:type="gramEnd"/>
      <w:r>
        <w:t xml:space="preserve"> сотрудника полиции, погибшего (умершего) вследствие увечья или иного поврежд</w:t>
      </w:r>
      <w:r>
        <w:t xml:space="preserve">ения здоровья, полученных в связи с выполнением служебных обязанностей; </w:t>
      </w:r>
    </w:p>
    <w:p w:rsidR="000A7583" w:rsidRDefault="00293762">
      <w:pPr>
        <w:numPr>
          <w:ilvl w:val="0"/>
          <w:numId w:val="1"/>
        </w:numPr>
        <w:ind w:firstLine="0"/>
      </w:pPr>
      <w:proofErr w:type="gramStart"/>
      <w:r>
        <w:t>дети</w:t>
      </w:r>
      <w:proofErr w:type="gramEnd"/>
      <w:r>
        <w:t xml:space="preserve"> сотрудника полиции, умершего вследствие заболевания, полученного в период прохождения службы в полиции; </w:t>
      </w:r>
    </w:p>
    <w:p w:rsidR="000A7583" w:rsidRDefault="00293762">
      <w:pPr>
        <w:numPr>
          <w:ilvl w:val="0"/>
          <w:numId w:val="1"/>
        </w:numPr>
        <w:ind w:firstLine="0"/>
      </w:pPr>
      <w:proofErr w:type="gramStart"/>
      <w:r>
        <w:t>дети</w:t>
      </w:r>
      <w:proofErr w:type="gramEnd"/>
      <w:r>
        <w:t xml:space="preserve"> гражданина Российской Федерации, уволенного со службы в полиции всле</w:t>
      </w:r>
      <w:r>
        <w:t xml:space="preserve">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</w:t>
      </w:r>
    </w:p>
    <w:p w:rsidR="000A7583" w:rsidRDefault="00293762">
      <w:pPr>
        <w:numPr>
          <w:ilvl w:val="0"/>
          <w:numId w:val="1"/>
        </w:numPr>
        <w:ind w:firstLine="0"/>
      </w:pPr>
      <w:proofErr w:type="gramStart"/>
      <w:r>
        <w:t>дети</w:t>
      </w:r>
      <w:proofErr w:type="gramEnd"/>
      <w:r>
        <w:t xml:space="preserve"> гражданина Российской Федерации, умершего в течение одного года после увольнения</w:t>
      </w:r>
      <w:r>
        <w:t xml:space="preserve">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</w:t>
      </w:r>
      <w:r>
        <w:t xml:space="preserve">службы в полиции; </w:t>
      </w:r>
    </w:p>
    <w:p w:rsidR="000A7583" w:rsidRDefault="00293762">
      <w:pPr>
        <w:numPr>
          <w:ilvl w:val="0"/>
          <w:numId w:val="1"/>
        </w:numPr>
        <w:ind w:firstLine="0"/>
      </w:pPr>
      <w:proofErr w:type="gramStart"/>
      <w:r>
        <w:t>дети</w:t>
      </w:r>
      <w:proofErr w:type="gramEnd"/>
      <w:r>
        <w:t xml:space="preserve">, находящиеся (находившиеся) на иждивении сотрудников полиции, граждан Российской Федерации, указанных в вышеприведенных пунктах 1 - 5. </w:t>
      </w:r>
    </w:p>
    <w:p w:rsidR="000A7583" w:rsidRDefault="00293762">
      <w:r>
        <w:t>В соответствии с Федеральным законом от 27 мая 1998 г. № 76–ФЗ «О статусе военнослужащих» данная</w:t>
      </w:r>
      <w:r>
        <w:t xml:space="preserve"> льгота установлена для следующих категорий граждан: </w:t>
      </w:r>
    </w:p>
    <w:p w:rsidR="000A7583" w:rsidRDefault="00293762">
      <w:pPr>
        <w:numPr>
          <w:ilvl w:val="0"/>
          <w:numId w:val="2"/>
        </w:numPr>
        <w:ind w:firstLine="0"/>
      </w:pPr>
      <w:proofErr w:type="gramStart"/>
      <w:r>
        <w:t>дети</w:t>
      </w:r>
      <w:proofErr w:type="gramEnd"/>
      <w:r>
        <w:t xml:space="preserve"> военнослужащих по месту жительства их семей (статья 19);  </w:t>
      </w:r>
    </w:p>
    <w:p w:rsidR="000A7583" w:rsidRDefault="00293762">
      <w:pPr>
        <w:numPr>
          <w:ilvl w:val="0"/>
          <w:numId w:val="2"/>
        </w:numPr>
        <w:ind w:firstLine="0"/>
      </w:pPr>
      <w:proofErr w:type="gramStart"/>
      <w:r>
        <w:t>дети</w:t>
      </w:r>
      <w:proofErr w:type="gramEnd"/>
      <w:r>
        <w:t xml:space="preserve"> военнослужащих, погибших (умерших) в период прохождения военной службы, проходивших военную службу по контракту и погибших (умерших) </w:t>
      </w:r>
      <w:r>
        <w:t>после увольнения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</w:t>
      </w:r>
      <w:r>
        <w:t xml:space="preserve">ого года со дня гибели (смерти) кормильца (статья 24). </w:t>
      </w:r>
    </w:p>
    <w:p w:rsidR="000A7583" w:rsidRDefault="00293762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0A7583">
      <w:pgSz w:w="11907" w:h="16839"/>
      <w:pgMar w:top="501" w:right="275" w:bottom="60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801C0"/>
    <w:multiLevelType w:val="hybridMultilevel"/>
    <w:tmpl w:val="A5C048AA"/>
    <w:lvl w:ilvl="0" w:tplc="32368C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442A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B63A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A4B8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231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7CB9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344F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2AB0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3A0E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0832185"/>
    <w:multiLevelType w:val="hybridMultilevel"/>
    <w:tmpl w:val="4F107EC8"/>
    <w:lvl w:ilvl="0" w:tplc="21B21D6A">
      <w:start w:val="1"/>
      <w:numFmt w:val="decimal"/>
      <w:pStyle w:val="1"/>
      <w:lvlText w:val="%1."/>
      <w:lvlJc w:val="left"/>
      <w:pPr>
        <w:ind w:left="52"/>
      </w:pPr>
      <w:rPr>
        <w:rFonts w:ascii="Times New Roman" w:eastAsia="Times New Roman" w:hAnsi="Times New Roman" w:cs="Times New Roman"/>
        <w:b/>
        <w:i/>
        <w:strike w:val="0"/>
        <w:dstrike w:val="0"/>
        <w:color w:val="0000F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C7A94">
      <w:start w:val="1"/>
      <w:numFmt w:val="lowerLetter"/>
      <w:lvlText w:val="%2"/>
      <w:lvlJc w:val="left"/>
      <w:pPr>
        <w:ind w:left="1132"/>
      </w:pPr>
      <w:rPr>
        <w:rFonts w:ascii="Times New Roman" w:eastAsia="Times New Roman" w:hAnsi="Times New Roman" w:cs="Times New Roman"/>
        <w:b/>
        <w:i/>
        <w:strike w:val="0"/>
        <w:dstrike w:val="0"/>
        <w:color w:val="0000F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AA85D0">
      <w:start w:val="1"/>
      <w:numFmt w:val="lowerRoman"/>
      <w:lvlText w:val="%3"/>
      <w:lvlJc w:val="left"/>
      <w:pPr>
        <w:ind w:left="1852"/>
      </w:pPr>
      <w:rPr>
        <w:rFonts w:ascii="Times New Roman" w:eastAsia="Times New Roman" w:hAnsi="Times New Roman" w:cs="Times New Roman"/>
        <w:b/>
        <w:i/>
        <w:strike w:val="0"/>
        <w:dstrike w:val="0"/>
        <w:color w:val="0000F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E600E8">
      <w:start w:val="1"/>
      <w:numFmt w:val="decimal"/>
      <w:lvlText w:val="%4"/>
      <w:lvlJc w:val="left"/>
      <w:pPr>
        <w:ind w:left="2572"/>
      </w:pPr>
      <w:rPr>
        <w:rFonts w:ascii="Times New Roman" w:eastAsia="Times New Roman" w:hAnsi="Times New Roman" w:cs="Times New Roman"/>
        <w:b/>
        <w:i/>
        <w:strike w:val="0"/>
        <w:dstrike w:val="0"/>
        <w:color w:val="0000F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9E9788">
      <w:start w:val="1"/>
      <w:numFmt w:val="lowerLetter"/>
      <w:lvlText w:val="%5"/>
      <w:lvlJc w:val="left"/>
      <w:pPr>
        <w:ind w:left="3292"/>
      </w:pPr>
      <w:rPr>
        <w:rFonts w:ascii="Times New Roman" w:eastAsia="Times New Roman" w:hAnsi="Times New Roman" w:cs="Times New Roman"/>
        <w:b/>
        <w:i/>
        <w:strike w:val="0"/>
        <w:dstrike w:val="0"/>
        <w:color w:val="0000F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A3C0E">
      <w:start w:val="1"/>
      <w:numFmt w:val="lowerRoman"/>
      <w:lvlText w:val="%6"/>
      <w:lvlJc w:val="left"/>
      <w:pPr>
        <w:ind w:left="4012"/>
      </w:pPr>
      <w:rPr>
        <w:rFonts w:ascii="Times New Roman" w:eastAsia="Times New Roman" w:hAnsi="Times New Roman" w:cs="Times New Roman"/>
        <w:b/>
        <w:i/>
        <w:strike w:val="0"/>
        <w:dstrike w:val="0"/>
        <w:color w:val="0000F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70E826">
      <w:start w:val="1"/>
      <w:numFmt w:val="decimal"/>
      <w:lvlText w:val="%7"/>
      <w:lvlJc w:val="left"/>
      <w:pPr>
        <w:ind w:left="4732"/>
      </w:pPr>
      <w:rPr>
        <w:rFonts w:ascii="Times New Roman" w:eastAsia="Times New Roman" w:hAnsi="Times New Roman" w:cs="Times New Roman"/>
        <w:b/>
        <w:i/>
        <w:strike w:val="0"/>
        <w:dstrike w:val="0"/>
        <w:color w:val="0000F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C85C5A">
      <w:start w:val="1"/>
      <w:numFmt w:val="lowerLetter"/>
      <w:lvlText w:val="%8"/>
      <w:lvlJc w:val="left"/>
      <w:pPr>
        <w:ind w:left="5452"/>
      </w:pPr>
      <w:rPr>
        <w:rFonts w:ascii="Times New Roman" w:eastAsia="Times New Roman" w:hAnsi="Times New Roman" w:cs="Times New Roman"/>
        <w:b/>
        <w:i/>
        <w:strike w:val="0"/>
        <w:dstrike w:val="0"/>
        <w:color w:val="0000FF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4C36CC">
      <w:start w:val="1"/>
      <w:numFmt w:val="lowerRoman"/>
      <w:lvlText w:val="%9"/>
      <w:lvlJc w:val="left"/>
      <w:pPr>
        <w:ind w:left="6172"/>
      </w:pPr>
      <w:rPr>
        <w:rFonts w:ascii="Times New Roman" w:eastAsia="Times New Roman" w:hAnsi="Times New Roman" w:cs="Times New Roman"/>
        <w:b/>
        <w:i/>
        <w:strike w:val="0"/>
        <w:dstrike w:val="0"/>
        <w:color w:val="0000FF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2F54EE"/>
    <w:multiLevelType w:val="hybridMultilevel"/>
    <w:tmpl w:val="FB2A441A"/>
    <w:lvl w:ilvl="0" w:tplc="EDFA2FE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4C39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BA95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0E46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6E50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0CCB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A61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455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A88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83"/>
    <w:rsid w:val="000A7583"/>
    <w:rsid w:val="0029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D9C9B-0DC6-4FDB-AC28-D3949BF6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28" w:line="243" w:lineRule="auto"/>
      <w:ind w:left="-15" w:firstLine="84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318" w:line="242" w:lineRule="auto"/>
      <w:ind w:left="-5" w:hanging="10"/>
      <w:outlineLvl w:val="0"/>
    </w:pPr>
    <w:rPr>
      <w:rFonts w:ascii="Times New Roman" w:eastAsia="Times New Roman" w:hAnsi="Times New Roman" w:cs="Times New Roman"/>
      <w:b/>
      <w:i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Махач</dc:creator>
  <cp:keywords/>
  <cp:lastModifiedBy>али</cp:lastModifiedBy>
  <cp:revision>2</cp:revision>
  <dcterms:created xsi:type="dcterms:W3CDTF">2018-05-22T07:05:00Z</dcterms:created>
  <dcterms:modified xsi:type="dcterms:W3CDTF">2018-05-22T07:05:00Z</dcterms:modified>
</cp:coreProperties>
</file>